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ascii="仿宋" w:hAnsi="仿宋" w:eastAsia="仿宋" w:cs="Times New Roman"/>
          <w:b/>
          <w:sz w:val="44"/>
        </w:rPr>
      </w:pPr>
      <w:r>
        <w:rPr>
          <w:rFonts w:ascii="仿宋" w:hAnsi="仿宋" w:eastAsia="仿宋" w:cs="Times New Roman"/>
          <w:b/>
          <w:sz w:val="44"/>
        </w:rPr>
        <w:t>2020年部门重点项目绩效评价报告</w:t>
      </w:r>
    </w:p>
    <w:p>
      <w:pPr>
        <w:spacing w:line="348" w:lineRule="auto"/>
        <w:jc w:val="center"/>
        <w:rPr>
          <w:rFonts w:ascii="仿宋" w:hAnsi="仿宋" w:eastAsia="仿宋" w:cs="Times New Roman"/>
          <w:b/>
          <w:sz w:val="44"/>
        </w:rPr>
      </w:pPr>
    </w:p>
    <w:p>
      <w:pPr>
        <w:spacing w:line="348" w:lineRule="auto"/>
        <w:jc w:val="center"/>
        <w:rPr>
          <w:rFonts w:ascii="仿宋" w:hAnsi="仿宋" w:eastAsia="仿宋" w:cs="Times New Roman"/>
          <w:b/>
          <w:sz w:val="44"/>
        </w:rPr>
      </w:pPr>
    </w:p>
    <w:p>
      <w:pPr>
        <w:spacing w:line="720" w:lineRule="auto"/>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cs="黑体"/>
          <w:sz w:val="32"/>
          <w:szCs w:val="32"/>
          <w:u w:val="single"/>
        </w:rPr>
        <w:t xml:space="preserve"> </w:t>
      </w:r>
      <w:r>
        <w:rPr>
          <w:rFonts w:ascii="仿宋" w:hAnsi="仿宋" w:eastAsia="仿宋" w:cs="黑体"/>
          <w:sz w:val="32"/>
          <w:szCs w:val="32"/>
          <w:u w:val="single"/>
        </w:rPr>
        <w:t xml:space="preserve">         </w:t>
      </w:r>
      <w:r>
        <w:rPr>
          <w:rFonts w:hint="eastAsia" w:ascii="仿宋" w:hAnsi="仿宋" w:eastAsia="仿宋" w:cs="黑体"/>
          <w:sz w:val="32"/>
          <w:szCs w:val="32"/>
          <w:u w:val="single"/>
        </w:rPr>
        <w:t xml:space="preserve">农资救灾储备补贴 </w:t>
      </w:r>
      <w:r>
        <w:rPr>
          <w:rFonts w:ascii="仿宋" w:hAnsi="仿宋" w:eastAsia="仿宋" w:cs="黑体"/>
          <w:sz w:val="32"/>
          <w:szCs w:val="32"/>
          <w:u w:val="single"/>
        </w:rPr>
        <w:t xml:space="preserve">          </w:t>
      </w:r>
    </w:p>
    <w:p>
      <w:pPr>
        <w:rPr>
          <w:rFonts w:ascii="仿宋" w:hAnsi="仿宋" w:eastAsia="仿宋"/>
          <w:sz w:val="32"/>
          <w:szCs w:val="32"/>
          <w:u w:val="single"/>
        </w:rPr>
      </w:pPr>
      <w:r>
        <w:rPr>
          <w:rFonts w:hint="eastAsia" w:ascii="仿宋" w:hAnsi="仿宋" w:eastAsia="仿宋"/>
          <w:sz w:val="32"/>
          <w:szCs w:val="32"/>
        </w:rPr>
        <w:t>项目单位：</w:t>
      </w:r>
      <w:r>
        <w:rPr>
          <w:rFonts w:ascii="仿宋" w:hAnsi="仿宋" w:eastAsia="仿宋"/>
          <w:sz w:val="32"/>
          <w:szCs w:val="32"/>
          <w:u w:val="single"/>
        </w:rPr>
        <w:t xml:space="preserve">          </w:t>
      </w:r>
      <w:r>
        <w:rPr>
          <w:rFonts w:hint="eastAsia" w:ascii="仿宋" w:hAnsi="仿宋" w:eastAsia="仿宋"/>
          <w:sz w:val="32"/>
          <w:szCs w:val="32"/>
          <w:u w:val="single"/>
        </w:rPr>
        <w:t>绍兴市供销合作总社</w:t>
      </w:r>
      <w:r>
        <w:rPr>
          <w:rFonts w:ascii="仿宋" w:hAnsi="仿宋" w:eastAsia="仿宋"/>
          <w:sz w:val="32"/>
          <w:szCs w:val="32"/>
          <w:u w:val="single"/>
        </w:rPr>
        <w:t xml:space="preserve">         </w:t>
      </w:r>
    </w:p>
    <w:p>
      <w:pPr>
        <w:pStyle w:val="4"/>
        <w:spacing w:line="720" w:lineRule="auto"/>
        <w:ind w:firstLine="0" w:firstLineChars="0"/>
      </w:pPr>
      <w:r>
        <w:rPr>
          <w:rFonts w:hint="eastAsia" w:ascii="仿宋" w:hAnsi="仿宋" w:eastAsia="仿宋"/>
          <w:sz w:val="32"/>
          <w:szCs w:val="32"/>
        </w:rPr>
        <w:t>委托单位：</w:t>
      </w:r>
      <w:r>
        <w:rPr>
          <w:rFonts w:ascii="仿宋" w:hAnsi="仿宋" w:eastAsia="仿宋"/>
          <w:sz w:val="32"/>
          <w:szCs w:val="32"/>
          <w:u w:val="single"/>
        </w:rPr>
        <w:t xml:space="preserve">          </w:t>
      </w:r>
      <w:r>
        <w:rPr>
          <w:rFonts w:hint="eastAsia" w:ascii="仿宋" w:hAnsi="仿宋" w:eastAsia="仿宋"/>
          <w:sz w:val="32"/>
          <w:szCs w:val="32"/>
          <w:u w:val="single"/>
        </w:rPr>
        <w:t>绍兴市供销合作总社</w:t>
      </w:r>
      <w:r>
        <w:rPr>
          <w:rFonts w:ascii="仿宋" w:hAnsi="仿宋" w:eastAsia="仿宋"/>
          <w:sz w:val="32"/>
          <w:szCs w:val="32"/>
          <w:u w:val="single"/>
        </w:rPr>
        <w:t xml:space="preserve">       </w:t>
      </w:r>
      <w:r>
        <w:rPr>
          <w:rFonts w:hint="eastAsia" w:ascii="仿宋_GB2312" w:eastAsia="仿宋_GB2312"/>
          <w:szCs w:val="28"/>
          <w:u w:val="single"/>
        </w:rPr>
        <w:t xml:space="preserve">  </w:t>
      </w:r>
    </w:p>
    <w:p>
      <w:pPr>
        <w:spacing w:line="720" w:lineRule="auto"/>
        <w:ind w:firstLine="198" w:firstLineChars="62"/>
        <w:rPr>
          <w:rFonts w:ascii="仿宋" w:hAnsi="仿宋" w:eastAsia="仿宋"/>
          <w:sz w:val="30"/>
          <w:szCs w:val="30"/>
        </w:rPr>
      </w:pPr>
      <w:r>
        <w:rPr>
          <w:rFonts w:hint="eastAsia" w:ascii="仿宋" w:hAnsi="仿宋" w:eastAsia="仿宋"/>
          <w:sz w:val="32"/>
        </w:rPr>
        <w:t>评价类型：</w:t>
      </w:r>
      <w:r>
        <w:rPr>
          <w:rFonts w:hint="eastAsia" w:ascii="仿宋" w:hAnsi="仿宋" w:eastAsia="仿宋"/>
          <w:sz w:val="30"/>
          <w:szCs w:val="30"/>
        </w:rPr>
        <w:t>事前评价□</w:t>
      </w:r>
      <w:r>
        <w:rPr>
          <w:rFonts w:ascii="仿宋" w:hAnsi="仿宋" w:eastAsia="仿宋"/>
          <w:sz w:val="30"/>
          <w:szCs w:val="30"/>
        </w:rPr>
        <w:t xml:space="preserve">   </w:t>
      </w:r>
      <w:r>
        <w:rPr>
          <w:rFonts w:hint="eastAsia" w:ascii="仿宋" w:hAnsi="仿宋" w:eastAsia="仿宋"/>
          <w:sz w:val="30"/>
          <w:szCs w:val="30"/>
        </w:rPr>
        <w:t>事中评价□</w:t>
      </w:r>
      <w:r>
        <w:rPr>
          <w:rFonts w:ascii="仿宋" w:hAnsi="仿宋" w:eastAsia="仿宋"/>
          <w:sz w:val="30"/>
          <w:szCs w:val="30"/>
        </w:rPr>
        <w:t xml:space="preserve">    </w:t>
      </w:r>
      <w:r>
        <w:rPr>
          <w:rFonts w:hint="eastAsia" w:ascii="仿宋" w:hAnsi="仿宋" w:eastAsia="仿宋"/>
          <w:sz w:val="30"/>
          <w:szCs w:val="30"/>
        </w:rPr>
        <w:t>事后评价</w:t>
      </w:r>
      <w:r>
        <w:rPr>
          <w:rFonts w:ascii="仿宋" w:hAnsi="仿宋" w:eastAsia="仿宋"/>
          <w:sz w:val="30"/>
          <w:szCs w:val="30"/>
        </w:rPr>
        <w:fldChar w:fldCharType="begin"/>
      </w:r>
      <w:r>
        <w:rPr>
          <w:rFonts w:ascii="仿宋" w:hAnsi="仿宋" w:eastAsia="仿宋"/>
          <w:sz w:val="30"/>
          <w:szCs w:val="30"/>
        </w:rPr>
        <w:instrText xml:space="preserve">eq </w:instrText>
      </w:r>
      <w:r>
        <w:rPr>
          <w:rFonts w:hint="eastAsia" w:ascii="仿宋" w:hAnsi="仿宋" w:eastAsia="仿宋"/>
          <w:sz w:val="30"/>
          <w:szCs w:val="30"/>
        </w:rPr>
        <w:instrText xml:space="preserve">\o\ac(□,</w:instrText>
      </w:r>
      <w:r>
        <w:rPr>
          <w:rFonts w:hint="eastAsia" w:ascii="仿宋" w:hAnsi="仿宋" w:eastAsia="仿宋"/>
          <w:position w:val="2"/>
          <w:sz w:val="30"/>
          <w:szCs w:val="30"/>
        </w:rPr>
        <w:instrText xml:space="preserve">√</w:instrText>
      </w:r>
      <w:r>
        <w:rPr>
          <w:rFonts w:ascii="仿宋" w:hAnsi="仿宋" w:eastAsia="仿宋"/>
          <w:sz w:val="30"/>
          <w:szCs w:val="30"/>
        </w:rPr>
        <w:instrText xml:space="preserve">)</w:instrText>
      </w:r>
      <w:r>
        <w:rPr>
          <w:rFonts w:ascii="仿宋" w:hAnsi="仿宋" w:eastAsia="仿宋"/>
          <w:sz w:val="30"/>
          <w:szCs w:val="30"/>
        </w:rPr>
        <w:fldChar w:fldCharType="end"/>
      </w:r>
    </w:p>
    <w:p>
      <w:pPr>
        <w:spacing w:line="720" w:lineRule="auto"/>
        <w:ind w:firstLine="198" w:firstLineChars="62"/>
        <w:rPr>
          <w:rFonts w:ascii="仿宋" w:hAnsi="仿宋" w:eastAsia="仿宋"/>
          <w:sz w:val="32"/>
          <w:szCs w:val="32"/>
        </w:rPr>
      </w:pPr>
      <w:r>
        <w:rPr>
          <w:rFonts w:hint="eastAsia" w:ascii="仿宋" w:hAnsi="仿宋" w:eastAsia="仿宋"/>
          <w:sz w:val="32"/>
          <w:szCs w:val="32"/>
        </w:rPr>
        <w:t>评价方式：</w:t>
      </w:r>
      <w:r>
        <w:rPr>
          <w:rFonts w:hint="eastAsia" w:ascii="仿宋" w:hAnsi="仿宋" w:eastAsia="仿宋"/>
          <w:sz w:val="30"/>
          <w:szCs w:val="30"/>
        </w:rPr>
        <w:t>部门（单位）绩效自评</w:t>
      </w:r>
      <w:r>
        <w:rPr>
          <w:rFonts w:ascii="仿宋" w:hAnsi="仿宋" w:eastAsia="仿宋"/>
          <w:sz w:val="30"/>
          <w:szCs w:val="30"/>
        </w:rPr>
        <w:fldChar w:fldCharType="begin"/>
      </w:r>
      <w:r>
        <w:rPr>
          <w:rFonts w:ascii="仿宋" w:hAnsi="仿宋" w:eastAsia="仿宋"/>
          <w:sz w:val="30"/>
          <w:szCs w:val="30"/>
        </w:rPr>
        <w:instrText xml:space="preserve">eq </w:instrText>
      </w:r>
      <w:r>
        <w:rPr>
          <w:rFonts w:hint="eastAsia" w:ascii="仿宋" w:hAnsi="仿宋" w:eastAsia="仿宋"/>
          <w:sz w:val="30"/>
          <w:szCs w:val="30"/>
        </w:rPr>
        <w:instrText xml:space="preserve">\o\ac(□,</w:instrText>
      </w:r>
      <w:r>
        <w:rPr>
          <w:rFonts w:hint="eastAsia" w:ascii="仿宋" w:hAnsi="仿宋" w:eastAsia="仿宋"/>
          <w:position w:val="2"/>
          <w:sz w:val="30"/>
          <w:szCs w:val="30"/>
        </w:rPr>
        <w:instrText xml:space="preserve">√</w:instrText>
      </w:r>
      <w:r>
        <w:rPr>
          <w:rFonts w:ascii="仿宋" w:hAnsi="仿宋" w:eastAsia="仿宋"/>
          <w:sz w:val="30"/>
          <w:szCs w:val="30"/>
        </w:rPr>
        <w:instrText xml:space="preserve">)</w:instrText>
      </w:r>
      <w:r>
        <w:rPr>
          <w:rFonts w:ascii="仿宋" w:hAnsi="仿宋" w:eastAsia="仿宋"/>
          <w:sz w:val="30"/>
          <w:szCs w:val="30"/>
        </w:rPr>
        <w:fldChar w:fldCharType="end"/>
      </w:r>
      <w:r>
        <w:rPr>
          <w:rFonts w:ascii="仿宋" w:hAnsi="仿宋" w:eastAsia="仿宋"/>
          <w:sz w:val="30"/>
          <w:szCs w:val="30"/>
        </w:rPr>
        <w:t xml:space="preserve"> </w:t>
      </w:r>
      <w:r>
        <w:rPr>
          <w:rFonts w:hint="eastAsia" w:ascii="仿宋" w:hAnsi="仿宋" w:eastAsia="仿宋"/>
          <w:sz w:val="30"/>
          <w:szCs w:val="30"/>
        </w:rPr>
        <w:t>财政部门组织评价□</w:t>
      </w:r>
    </w:p>
    <w:p>
      <w:pPr>
        <w:spacing w:line="720" w:lineRule="auto"/>
        <w:ind w:firstLine="198" w:firstLineChars="62"/>
        <w:rPr>
          <w:rFonts w:ascii="仿宋" w:hAnsi="仿宋" w:eastAsia="仿宋"/>
          <w:sz w:val="32"/>
          <w:szCs w:val="32"/>
        </w:rPr>
      </w:pPr>
      <w:r>
        <w:rPr>
          <w:rFonts w:hint="eastAsia" w:ascii="仿宋" w:hAnsi="仿宋" w:eastAsia="仿宋"/>
          <w:sz w:val="32"/>
          <w:szCs w:val="32"/>
        </w:rPr>
        <w:t>评价机构：</w:t>
      </w:r>
      <w:r>
        <w:rPr>
          <w:rFonts w:hint="eastAsia" w:ascii="仿宋" w:hAnsi="仿宋" w:eastAsia="仿宋"/>
          <w:sz w:val="30"/>
          <w:szCs w:val="30"/>
        </w:rPr>
        <w:t>中介机构</w:t>
      </w:r>
      <w:r>
        <w:rPr>
          <w:rFonts w:ascii="仿宋" w:hAnsi="仿宋" w:eastAsia="仿宋"/>
          <w:sz w:val="30"/>
          <w:szCs w:val="30"/>
        </w:rPr>
        <w:fldChar w:fldCharType="begin"/>
      </w:r>
      <w:r>
        <w:rPr>
          <w:rFonts w:ascii="仿宋" w:hAnsi="仿宋" w:eastAsia="仿宋"/>
          <w:sz w:val="30"/>
          <w:szCs w:val="30"/>
        </w:rPr>
        <w:instrText xml:space="preserve">eq </w:instrText>
      </w:r>
      <w:r>
        <w:rPr>
          <w:rFonts w:hint="eastAsia" w:ascii="仿宋" w:hAnsi="仿宋" w:eastAsia="仿宋"/>
          <w:sz w:val="30"/>
          <w:szCs w:val="30"/>
        </w:rPr>
        <w:instrText xml:space="preserve">\o\ac(□,</w:instrText>
      </w:r>
      <w:r>
        <w:rPr>
          <w:rFonts w:hint="eastAsia" w:ascii="仿宋" w:hAnsi="仿宋" w:eastAsia="仿宋"/>
          <w:position w:val="2"/>
          <w:sz w:val="30"/>
          <w:szCs w:val="30"/>
        </w:rPr>
        <w:instrText xml:space="preserve">√</w:instrText>
      </w:r>
      <w:r>
        <w:rPr>
          <w:rFonts w:ascii="仿宋" w:hAnsi="仿宋" w:eastAsia="仿宋"/>
          <w:sz w:val="30"/>
          <w:szCs w:val="30"/>
        </w:rPr>
        <w:instrText xml:space="preserve">)</w:instrText>
      </w:r>
      <w:r>
        <w:rPr>
          <w:rFonts w:ascii="仿宋" w:hAnsi="仿宋" w:eastAsia="仿宋"/>
          <w:sz w:val="30"/>
          <w:szCs w:val="30"/>
        </w:rPr>
        <w:fldChar w:fldCharType="end"/>
      </w:r>
      <w:r>
        <w:rPr>
          <w:rFonts w:hint="eastAsia" w:ascii="仿宋" w:hAnsi="仿宋" w:eastAsia="仿宋"/>
          <w:sz w:val="30"/>
          <w:szCs w:val="30"/>
        </w:rPr>
        <w:t xml:space="preserve">  部门单位评价组□</w:t>
      </w:r>
      <w:r>
        <w:rPr>
          <w:rFonts w:ascii="仿宋" w:hAnsi="仿宋" w:eastAsia="仿宋"/>
          <w:sz w:val="30"/>
          <w:szCs w:val="30"/>
        </w:rPr>
        <w:t xml:space="preserve"> </w:t>
      </w:r>
      <w:r>
        <w:rPr>
          <w:rFonts w:hint="eastAsia" w:ascii="仿宋" w:hAnsi="仿宋" w:eastAsia="仿宋"/>
          <w:sz w:val="30"/>
          <w:szCs w:val="30"/>
        </w:rPr>
        <w:t>财政评价组□</w:t>
      </w:r>
    </w:p>
    <w:p>
      <w:pPr>
        <w:pStyle w:val="4"/>
        <w:ind w:firstLine="560"/>
      </w:pPr>
    </w:p>
    <w:p>
      <w:pPr>
        <w:spacing w:line="480" w:lineRule="auto"/>
        <w:jc w:val="center"/>
        <w:rPr>
          <w:rFonts w:ascii="仿宋" w:hAnsi="仿宋" w:eastAsia="仿宋"/>
          <w:sz w:val="32"/>
          <w:szCs w:val="32"/>
        </w:rPr>
      </w:pPr>
      <w:r>
        <w:rPr>
          <w:rFonts w:hint="eastAsia" w:ascii="仿宋" w:hAnsi="仿宋" w:eastAsia="仿宋"/>
          <w:sz w:val="32"/>
          <w:szCs w:val="32"/>
        </w:rPr>
        <w:t>浙江中兴会计师事务所有限公司</w:t>
      </w:r>
    </w:p>
    <w:p>
      <w:pPr>
        <w:spacing w:line="480" w:lineRule="auto"/>
        <w:ind w:firstLine="198" w:firstLineChars="62"/>
        <w:jc w:val="center"/>
        <w:rPr>
          <w:rFonts w:ascii="仿宋" w:hAnsi="仿宋" w:eastAsia="仿宋" w:cs="仿宋_GB2312"/>
          <w:sz w:val="32"/>
          <w:szCs w:val="32"/>
        </w:rPr>
      </w:pPr>
      <w:r>
        <w:rPr>
          <w:rFonts w:hint="eastAsia" w:ascii="仿宋" w:hAnsi="仿宋" w:eastAsia="仿宋"/>
          <w:sz w:val="32"/>
          <w:szCs w:val="32"/>
        </w:rPr>
        <w:t>2020年6月</w:t>
      </w:r>
    </w:p>
    <w:p>
      <w:pPr>
        <w:spacing w:line="348" w:lineRule="auto"/>
        <w:jc w:val="center"/>
        <w:rPr>
          <w:rFonts w:ascii="仿宋" w:hAnsi="仿宋" w:eastAsia="仿宋"/>
          <w:sz w:val="32"/>
          <w:szCs w:val="32"/>
        </w:rPr>
      </w:pPr>
      <w:r>
        <w:rPr>
          <w:rFonts w:hint="eastAsia" w:ascii="仿宋" w:hAnsi="仿宋" w:eastAsia="仿宋"/>
          <w:sz w:val="32"/>
          <w:szCs w:val="32"/>
        </w:rPr>
        <w:t>绍兴市财政局（制）</w:t>
      </w:r>
    </w:p>
    <w:p>
      <w:pPr>
        <w:rPr>
          <w:rFonts w:ascii="仿宋" w:hAnsi="仿宋" w:eastAsia="仿宋" w:cs="Times New Roman"/>
          <w:b/>
          <w:sz w:val="44"/>
        </w:rPr>
      </w:pPr>
    </w:p>
    <w:p>
      <w:pPr>
        <w:widowControl/>
        <w:jc w:val="center"/>
        <w:rPr>
          <w:rFonts w:ascii="黑体" w:hAnsi="黑体" w:eastAsia="黑体" w:cs="黑体"/>
          <w:b/>
          <w:bCs/>
          <w:sz w:val="36"/>
          <w:szCs w:val="36"/>
        </w:rPr>
      </w:pPr>
      <w:r>
        <w:rPr>
          <w:rFonts w:hint="eastAsia" w:ascii="黑体" w:hAnsi="黑体" w:eastAsia="黑体" w:cs="黑体"/>
          <w:b/>
          <w:bCs/>
          <w:sz w:val="36"/>
          <w:szCs w:val="36"/>
        </w:rPr>
        <w:t>农资救灾储备补贴项目支出绩效评价报告</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（一）项目概况</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绍兴市供销合作总社（以下简称“市供销总社”）根据绍兴市人民政府办公室抄告单（绍市府办抄2014年第151号）精神，为增强市本级农业生产抵御自然灾害和抗御病虫害能力，每年储备化肥5000吨（其中尿素2000吨，复合肥3000吨）、农药238吨。根据绍兴市农事实际情况，化肥储备期为每年的1-6月，农药储备期为每年的5-10月，储备周期均为6个月。绍兴市供销总社负责在年初确定救灾储备物资储备方案，包括化肥、农药的储备品种、数量。绍兴市农业生产资料有限公司（以下简称“市农资公司”）负责采购、储备农资救灾物品。</w:t>
      </w:r>
    </w:p>
    <w:p>
      <w:pPr>
        <w:adjustRightInd w:val="0"/>
        <w:snapToGrid w:val="0"/>
        <w:spacing w:line="600" w:lineRule="exact"/>
        <w:ind w:firstLine="560" w:firstLineChars="200"/>
        <w:rPr>
          <w:rFonts w:ascii="仿宋" w:hAnsi="仿宋" w:eastAsia="仿宋" w:cs="仿宋"/>
          <w:sz w:val="28"/>
          <w:szCs w:val="28"/>
        </w:rPr>
      </w:pPr>
      <w:r>
        <w:rPr>
          <w:rFonts w:ascii="仿宋" w:hAnsi="仿宋" w:eastAsia="仿宋" w:cs="仿宋"/>
          <w:sz w:val="28"/>
          <w:szCs w:val="28"/>
        </w:rPr>
        <w:t>2019年度，</w:t>
      </w:r>
      <w:r>
        <w:rPr>
          <w:rFonts w:hint="eastAsia" w:ascii="仿宋" w:hAnsi="仿宋" w:eastAsia="仿宋" w:cs="仿宋"/>
          <w:sz w:val="28"/>
          <w:szCs w:val="28"/>
        </w:rPr>
        <w:t>农资救灾储备补贴</w:t>
      </w:r>
      <w:r>
        <w:rPr>
          <w:rFonts w:ascii="仿宋" w:hAnsi="仿宋" w:eastAsia="仿宋" w:cs="仿宋"/>
          <w:sz w:val="28"/>
          <w:szCs w:val="28"/>
        </w:rPr>
        <w:t>实际支出</w:t>
      </w:r>
      <w:r>
        <w:rPr>
          <w:rFonts w:hint="eastAsia" w:ascii="仿宋" w:hAnsi="仿宋" w:eastAsia="仿宋" w:cs="仿宋"/>
          <w:sz w:val="28"/>
          <w:szCs w:val="28"/>
        </w:rPr>
        <w:t>85.07</w:t>
      </w:r>
      <w:r>
        <w:rPr>
          <w:rFonts w:ascii="仿宋" w:hAnsi="仿宋" w:eastAsia="仿宋" w:cs="仿宋"/>
          <w:sz w:val="28"/>
          <w:szCs w:val="28"/>
        </w:rPr>
        <w:t>万元，其中：</w:t>
      </w:r>
      <w:r>
        <w:rPr>
          <w:rFonts w:hint="eastAsia" w:ascii="仿宋" w:hAnsi="仿宋" w:eastAsia="仿宋" w:cs="仿宋"/>
          <w:sz w:val="28"/>
          <w:szCs w:val="28"/>
        </w:rPr>
        <w:t>储备化肥5000吨，储备周期为1-6月，占用资金1185.50万元，按4.35%的银行贷款基准利率计算给予25.78万元的利息补贴；储备农药238吨，储备周期为5-10月，占用资金1576.45万元，按4.35%的银行贷款基准利率计算给予34.29万元的利息补贴；仓储保管费用补贴为25万元。</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（二）项目绩效目标</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对化肥、农药进行救灾储备旨在增强绍兴市本级农业生产抵御自然灾害和抗御病虫害能力，为农民提供强大的物资保障，切实减少农民的损失。</w:t>
      </w:r>
    </w:p>
    <w:p>
      <w:pPr>
        <w:spacing w:line="600" w:lineRule="exact"/>
        <w:ind w:firstLine="640" w:firstLineChars="200"/>
        <w:rPr>
          <w:rFonts w:ascii="黑体" w:hAnsi="黑体" w:eastAsia="黑体" w:cs="黑体"/>
          <w:sz w:val="32"/>
          <w:szCs w:val="32"/>
        </w:rPr>
      </w:pPr>
      <w:bookmarkStart w:id="0" w:name="_Hlk41930787"/>
      <w:r>
        <w:rPr>
          <w:rFonts w:hint="eastAsia" w:ascii="黑体" w:hAnsi="黑体" w:eastAsia="黑体" w:cs="黑体"/>
          <w:sz w:val="32"/>
          <w:szCs w:val="32"/>
        </w:rPr>
        <w:t>二、绩效评价工作开展情况</w:t>
      </w:r>
    </w:p>
    <w:bookmarkEnd w:id="0"/>
    <w:p>
      <w:pPr>
        <w:spacing w:line="600" w:lineRule="exact"/>
        <w:ind w:firstLine="643" w:firstLineChars="200"/>
        <w:rPr>
          <w:rFonts w:ascii="仿宋" w:hAnsi="仿宋" w:eastAsia="仿宋" w:cs="仿宋"/>
          <w:b/>
          <w:bCs/>
          <w:sz w:val="32"/>
          <w:szCs w:val="32"/>
        </w:rPr>
      </w:pPr>
      <w:bookmarkStart w:id="1" w:name="_Hlk41930809"/>
      <w:r>
        <w:rPr>
          <w:rFonts w:hint="eastAsia" w:ascii="仿宋" w:hAnsi="仿宋" w:eastAsia="仿宋" w:cs="仿宋"/>
          <w:b/>
          <w:bCs/>
          <w:sz w:val="32"/>
          <w:szCs w:val="32"/>
        </w:rPr>
        <w:t>（一）绩效评价目的、对象和范围</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通过对农资救灾储备补贴项目的整体绩效评价，</w:t>
      </w:r>
      <w:bookmarkStart w:id="2" w:name="_Hlk41930667"/>
      <w:r>
        <w:rPr>
          <w:rFonts w:hint="eastAsia" w:ascii="仿宋" w:hAnsi="仿宋" w:eastAsia="仿宋" w:cs="仿宋"/>
          <w:sz w:val="28"/>
          <w:szCs w:val="28"/>
        </w:rPr>
        <w:t>优化财政资源配置</w:t>
      </w:r>
      <w:bookmarkEnd w:id="2"/>
      <w:r>
        <w:rPr>
          <w:rFonts w:hint="eastAsia" w:ascii="仿宋" w:hAnsi="仿宋" w:eastAsia="仿宋" w:cs="仿宋"/>
          <w:sz w:val="28"/>
          <w:szCs w:val="28"/>
        </w:rPr>
        <w:t>。对投入经济性、绩效目标合理性、项目可持续性等方面进行客观、公正的评价，总结项目实施的经验做法，指出项目实施过程中存在的问题并提出相关建议对策。</w:t>
      </w:r>
    </w:p>
    <w:bookmarkEnd w:id="1"/>
    <w:p>
      <w:pPr>
        <w:spacing w:line="600" w:lineRule="exact"/>
        <w:ind w:firstLine="643" w:firstLineChars="200"/>
        <w:rPr>
          <w:rFonts w:ascii="仿宋" w:hAnsi="仿宋" w:eastAsia="仿宋" w:cs="仿宋"/>
          <w:b/>
          <w:bCs/>
          <w:sz w:val="32"/>
          <w:szCs w:val="32"/>
        </w:rPr>
      </w:pPr>
      <w:bookmarkStart w:id="3" w:name="_Hlk41930852"/>
      <w:r>
        <w:rPr>
          <w:rFonts w:hint="eastAsia" w:ascii="仿宋" w:hAnsi="仿宋" w:eastAsia="仿宋" w:cs="仿宋"/>
          <w:b/>
          <w:bCs/>
          <w:sz w:val="32"/>
          <w:szCs w:val="32"/>
        </w:rPr>
        <w:t>（二）绩效评价原则、方法等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绩效评价的原则</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1）科学规范。绩效评价注重财政支出的经济性、效率性和有效性，严格执行规定的程序，采用定量和定性分析相结合的方法。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2）公正公开。绩效评价客观、公正，标准统一、资料可靠，依法公开。</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3）绩效相关。绩效评价针对具体支出及其产出绩效进行评价，结果清晰反映支出和产生绩效之间的紧密对应关系。</w:t>
      </w:r>
      <w:bookmarkEnd w:id="3"/>
    </w:p>
    <w:p>
      <w:pPr>
        <w:spacing w:line="600" w:lineRule="exact"/>
        <w:ind w:firstLine="640" w:firstLineChars="200"/>
        <w:rPr>
          <w:rFonts w:ascii="仿宋" w:hAnsi="仿宋" w:eastAsia="仿宋" w:cs="仿宋"/>
          <w:sz w:val="32"/>
          <w:szCs w:val="32"/>
        </w:rPr>
      </w:pPr>
      <w:bookmarkStart w:id="4" w:name="_Hlk41930883"/>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评价指标体系及标准</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本次绩效评价指标体系分别从项目经济性、效率性、有效性、公平性和可持续性五个方面对其进行评价。</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评价标准主要是参照计划标准和历史标准制定。对于已经制定计划目标的指标，则直接用实际情况与计划情况相比较进行评价，对于没有制定计划目标的指标，则参照历史标准进行评价。</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绩效评价方法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本次绩效评价将运用（但不限于）以下评价方法：</w:t>
      </w:r>
    </w:p>
    <w:p>
      <w:pPr>
        <w:spacing w:line="600" w:lineRule="exact"/>
        <w:ind w:firstLine="560" w:firstLineChars="200"/>
        <w:rPr>
          <w:rFonts w:ascii="仿宋" w:hAnsi="仿宋" w:eastAsia="仿宋" w:cs="仿宋"/>
          <w:sz w:val="28"/>
          <w:szCs w:val="28"/>
        </w:rPr>
      </w:pPr>
      <w:r>
        <w:rPr>
          <w:rFonts w:ascii="仿宋" w:hAnsi="仿宋" w:eastAsia="仿宋" w:cs="仿宋"/>
          <w:sz w:val="28"/>
          <w:szCs w:val="28"/>
        </w:rPr>
        <w:t>1.基础数据的审查方法。运用询问、盘点、检查、重新计算等审计方</w:t>
      </w:r>
      <w:r>
        <w:rPr>
          <w:rFonts w:hint="eastAsia" w:ascii="仿宋" w:hAnsi="仿宋" w:eastAsia="仿宋" w:cs="仿宋"/>
          <w:sz w:val="28"/>
          <w:szCs w:val="28"/>
        </w:rPr>
        <w:t>法，执行穿行测试，对资金支出的真实性、合法性、合规性进行专项审核，确保绩效评价分析所依赖数据的可靠性。</w:t>
      </w:r>
    </w:p>
    <w:p>
      <w:pPr>
        <w:spacing w:line="600" w:lineRule="exact"/>
        <w:ind w:firstLine="560" w:firstLineChars="200"/>
        <w:rPr>
          <w:rFonts w:ascii="仿宋" w:hAnsi="仿宋" w:eastAsia="仿宋" w:cs="仿宋"/>
          <w:sz w:val="28"/>
          <w:szCs w:val="28"/>
        </w:rPr>
      </w:pPr>
      <w:r>
        <w:rPr>
          <w:rFonts w:ascii="仿宋" w:hAnsi="仿宋" w:eastAsia="仿宋" w:cs="仿宋"/>
          <w:sz w:val="28"/>
          <w:szCs w:val="28"/>
        </w:rPr>
        <w:t>2.成本效益分析法。将一定时期内的活动支出与效益进行对比分析以评价绩效目标实现程度。</w:t>
      </w:r>
    </w:p>
    <w:p>
      <w:pPr>
        <w:spacing w:line="600" w:lineRule="exact"/>
        <w:ind w:firstLine="560" w:firstLineChars="200"/>
        <w:rPr>
          <w:rFonts w:ascii="仿宋" w:hAnsi="仿宋" w:eastAsia="仿宋" w:cs="仿宋"/>
          <w:sz w:val="28"/>
          <w:szCs w:val="28"/>
        </w:rPr>
      </w:pPr>
      <w:r>
        <w:rPr>
          <w:rFonts w:ascii="仿宋" w:hAnsi="仿宋" w:eastAsia="仿宋" w:cs="仿宋"/>
          <w:sz w:val="28"/>
          <w:szCs w:val="28"/>
        </w:rPr>
        <w:t>3.比较法。通过对绩效目标与实施效果、历史与当期情况，综合分析绩效目标实现程度。</w:t>
      </w:r>
    </w:p>
    <w:p>
      <w:pPr>
        <w:spacing w:line="600" w:lineRule="exact"/>
        <w:ind w:firstLine="560" w:firstLineChars="200"/>
        <w:rPr>
          <w:rFonts w:ascii="仿宋" w:hAnsi="仿宋" w:eastAsia="仿宋" w:cs="仿宋"/>
          <w:sz w:val="28"/>
          <w:szCs w:val="28"/>
        </w:rPr>
      </w:pPr>
      <w:r>
        <w:rPr>
          <w:rFonts w:ascii="仿宋" w:hAnsi="仿宋" w:eastAsia="仿宋" w:cs="仿宋"/>
          <w:sz w:val="28"/>
          <w:szCs w:val="28"/>
        </w:rPr>
        <w:t>4.因素分析法。通过综合分析影响绩效目标实现，实施效果的内外因素，评价绩效目标实现程度</w:t>
      </w:r>
      <w:bookmarkEnd w:id="4"/>
      <w:r>
        <w:rPr>
          <w:rFonts w:hint="eastAsia" w:ascii="仿宋" w:hAnsi="仿宋" w:eastAsia="仿宋" w:cs="仿宋"/>
          <w:sz w:val="28"/>
          <w:szCs w:val="28"/>
        </w:rPr>
        <w:t>。</w:t>
      </w:r>
    </w:p>
    <w:p>
      <w:pPr>
        <w:spacing w:line="600" w:lineRule="exact"/>
        <w:ind w:firstLine="643" w:firstLineChars="200"/>
        <w:rPr>
          <w:rFonts w:ascii="仿宋" w:hAnsi="仿宋" w:eastAsia="仿宋" w:cs="仿宋"/>
          <w:b/>
          <w:bCs/>
          <w:sz w:val="32"/>
          <w:szCs w:val="32"/>
        </w:rPr>
      </w:pPr>
      <w:bookmarkStart w:id="5" w:name="_Hlk41930904"/>
      <w:r>
        <w:rPr>
          <w:rFonts w:hint="eastAsia" w:ascii="仿宋" w:hAnsi="仿宋" w:eastAsia="仿宋" w:cs="仿宋"/>
          <w:b/>
          <w:bCs/>
          <w:sz w:val="32"/>
          <w:szCs w:val="32"/>
        </w:rPr>
        <w:t>（三）绩效评价工作过程</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项目组在前期调研的基础上，完成项目绩效评价工作方案，设计指标体系、评价标准等，明确评价的目的、方法、评价的原则。项目组严格按照工作方案，通过调研、相关文件的解读、数据采集、数据分析、指标评分和报告撰写等环节，顺利完成本次评价工作。</w:t>
      </w:r>
    </w:p>
    <w:bookmarkEnd w:id="5"/>
    <w:p>
      <w:pPr>
        <w:spacing w:line="600" w:lineRule="exact"/>
        <w:ind w:firstLine="640" w:firstLineChars="200"/>
        <w:rPr>
          <w:rFonts w:ascii="黑体" w:hAnsi="黑体" w:eastAsia="黑体" w:cs="黑体"/>
          <w:sz w:val="32"/>
          <w:szCs w:val="32"/>
        </w:rPr>
      </w:pPr>
      <w:bookmarkStart w:id="6" w:name="_Hlk41930930"/>
      <w:r>
        <w:rPr>
          <w:rFonts w:hint="eastAsia" w:ascii="黑体" w:hAnsi="黑体" w:eastAsia="黑体" w:cs="黑体"/>
          <w:sz w:val="32"/>
          <w:szCs w:val="32"/>
        </w:rPr>
        <w:t>三、综合评价情况及评价结论</w:t>
      </w:r>
    </w:p>
    <w:p>
      <w:pPr>
        <w:spacing w:line="60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此次绩效评价结果得分为</w:t>
      </w:r>
      <w:r>
        <w:rPr>
          <w:rFonts w:ascii="仿宋" w:hAnsi="仿宋" w:eastAsia="仿宋" w:cs="仿宋"/>
          <w:sz w:val="28"/>
          <w:szCs w:val="28"/>
        </w:rPr>
        <w:t>9</w:t>
      </w:r>
      <w:r>
        <w:rPr>
          <w:rFonts w:hint="eastAsia" w:ascii="仿宋" w:hAnsi="仿宋" w:eastAsia="仿宋" w:cs="仿宋"/>
          <w:sz w:val="28"/>
          <w:szCs w:val="28"/>
        </w:rPr>
        <w:t>8分，结果为优秀。详情见如下附件</w:t>
      </w:r>
      <w:r>
        <w:rPr>
          <w:rFonts w:ascii="仿宋" w:hAnsi="仿宋" w:eastAsia="仿宋" w:cs="仿宋"/>
          <w:sz w:val="28"/>
          <w:szCs w:val="28"/>
        </w:rPr>
        <w:t>1。</w:t>
      </w:r>
    </w:p>
    <w:bookmarkEnd w:id="6"/>
    <w:p>
      <w:pPr>
        <w:spacing w:line="600" w:lineRule="exact"/>
        <w:ind w:firstLine="640" w:firstLineChars="200"/>
        <w:rPr>
          <w:rFonts w:ascii="黑体" w:hAnsi="黑体" w:eastAsia="黑体" w:cs="黑体"/>
          <w:sz w:val="32"/>
          <w:szCs w:val="32"/>
        </w:rPr>
      </w:pPr>
      <w:bookmarkStart w:id="7" w:name="_Hlk41931000"/>
      <w:r>
        <w:rPr>
          <w:rFonts w:hint="eastAsia" w:ascii="黑体" w:hAnsi="黑体" w:eastAsia="黑体" w:cs="黑体"/>
          <w:sz w:val="32"/>
          <w:szCs w:val="32"/>
        </w:rPr>
        <w:t>四、绩效评价指标分析</w:t>
      </w:r>
    </w:p>
    <w:bookmarkEnd w:id="7"/>
    <w:p>
      <w:pPr>
        <w:spacing w:line="600" w:lineRule="exact"/>
        <w:ind w:firstLine="643" w:firstLineChars="200"/>
        <w:outlineLvl w:val="0"/>
        <w:rPr>
          <w:rFonts w:ascii="仿宋" w:hAnsi="仿宋" w:eastAsia="仿宋" w:cs="仿宋"/>
          <w:b/>
          <w:bCs/>
          <w:sz w:val="32"/>
          <w:szCs w:val="32"/>
        </w:rPr>
      </w:pPr>
      <w:bookmarkStart w:id="8" w:name="_Hlk41931076"/>
      <w:r>
        <w:rPr>
          <w:rFonts w:hint="eastAsia" w:ascii="仿宋" w:hAnsi="仿宋" w:eastAsia="仿宋" w:cs="仿宋"/>
          <w:b/>
          <w:bCs/>
          <w:sz w:val="32"/>
          <w:szCs w:val="32"/>
        </w:rPr>
        <w:t>（一）项目经济性情况</w:t>
      </w:r>
    </w:p>
    <w:bookmarkEnd w:id="8"/>
    <w:p>
      <w:pPr>
        <w:spacing w:line="60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政府资源总投入情况。本项目实际支出85.07</w:t>
      </w:r>
      <w:r>
        <w:rPr>
          <w:rFonts w:ascii="仿宋" w:hAnsi="仿宋" w:eastAsia="仿宋" w:cs="仿宋"/>
          <w:sz w:val="28"/>
          <w:szCs w:val="28"/>
        </w:rPr>
        <w:t>万元，</w:t>
      </w:r>
      <w:r>
        <w:rPr>
          <w:rFonts w:hint="eastAsia" w:ascii="仿宋" w:hAnsi="仿宋" w:eastAsia="仿宋" w:cs="仿宋"/>
          <w:sz w:val="28"/>
          <w:szCs w:val="28"/>
        </w:rPr>
        <w:t>较</w:t>
      </w:r>
      <w:r>
        <w:rPr>
          <w:rFonts w:ascii="仿宋" w:hAnsi="仿宋" w:eastAsia="仿宋" w:cs="仿宋"/>
          <w:sz w:val="28"/>
          <w:szCs w:val="28"/>
        </w:rPr>
        <w:t>预算金额</w:t>
      </w:r>
      <w:r>
        <w:rPr>
          <w:rFonts w:hint="eastAsia" w:ascii="仿宋" w:hAnsi="仿宋" w:eastAsia="仿宋" w:cs="仿宋"/>
          <w:sz w:val="28"/>
          <w:szCs w:val="28"/>
        </w:rPr>
        <w:t>节约0.97万元</w:t>
      </w:r>
      <w:r>
        <w:rPr>
          <w:rFonts w:ascii="仿宋" w:hAnsi="仿宋" w:eastAsia="仿宋" w:cs="仿宋"/>
          <w:sz w:val="28"/>
          <w:szCs w:val="28"/>
        </w:rPr>
        <w:t>。</w:t>
      </w:r>
      <w:r>
        <w:rPr>
          <w:rFonts w:hint="eastAsia" w:ascii="仿宋" w:hAnsi="仿宋" w:eastAsia="仿宋" w:cs="仿宋"/>
          <w:sz w:val="28"/>
          <w:szCs w:val="28"/>
        </w:rPr>
        <w:t>农资救灾储备可以有效应对</w:t>
      </w:r>
      <w:r>
        <w:rPr>
          <w:rFonts w:ascii="仿宋" w:hAnsi="仿宋" w:eastAsia="仿宋" w:cs="仿宋"/>
          <w:sz w:val="28"/>
          <w:szCs w:val="28"/>
        </w:rPr>
        <w:t>严重</w:t>
      </w:r>
      <w:r>
        <w:rPr>
          <w:rFonts w:hint="eastAsia" w:ascii="仿宋" w:hAnsi="仿宋" w:eastAsia="仿宋" w:cs="仿宋"/>
          <w:sz w:val="28"/>
          <w:szCs w:val="28"/>
        </w:rPr>
        <w:t>的</w:t>
      </w:r>
      <w:r>
        <w:rPr>
          <w:rFonts w:ascii="仿宋" w:hAnsi="仿宋" w:eastAsia="仿宋" w:cs="仿宋"/>
          <w:sz w:val="28"/>
          <w:szCs w:val="28"/>
        </w:rPr>
        <w:t>自然灾害</w:t>
      </w:r>
      <w:r>
        <w:rPr>
          <w:rFonts w:hint="eastAsia" w:ascii="仿宋" w:hAnsi="仿宋" w:eastAsia="仿宋" w:cs="仿宋"/>
          <w:sz w:val="28"/>
          <w:szCs w:val="28"/>
        </w:rPr>
        <w:t>和病虫害，减少对农业经济的影响，保障农业生产有序进行。</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（二）项目效率性情况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（1）业务管理效率方面</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经绍兴市政府研究决定农药救灾储备数量为每年化肥5000吨（其中尿素2000吨，复合肥3000吨）、农药238吨，储备周期均为6个月。为保障农业生产有序进行，应对自然灾害和病虫害，市供销总社制定了储备方案。实际储备敌敌畏、三唑鳞、多菌灵等19种农药。</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为进一步加强绍兴市本级化肥、农药救灾储备物资管理，根据绍兴市政府意见，市供销总社制定《绍兴市本级化肥、农药救灾储备物资管理暂行办法》。该办法规定了市农资公司作为农药救灾储备物资的承储单位，负责储备物资的实物管理，并对储备物资的安全负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（2）资金管理效率方面</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2019年根据文件要求储备化肥5000吨，储备时间为1-6月；农药238吨，储备时间为5-10月。预计共占用资金28</w:t>
      </w:r>
      <w:r>
        <w:rPr>
          <w:rFonts w:ascii="仿宋" w:hAnsi="仿宋" w:eastAsia="仿宋" w:cs="仿宋"/>
          <w:sz w:val="28"/>
          <w:szCs w:val="28"/>
        </w:rPr>
        <w:t>,</w:t>
      </w:r>
      <w:r>
        <w:rPr>
          <w:rFonts w:hint="eastAsia" w:ascii="仿宋" w:hAnsi="仿宋" w:eastAsia="仿宋" w:cs="仿宋"/>
          <w:sz w:val="28"/>
          <w:szCs w:val="28"/>
        </w:rPr>
        <w:t>064</w:t>
      </w:r>
      <w:r>
        <w:rPr>
          <w:rFonts w:ascii="仿宋" w:hAnsi="仿宋" w:eastAsia="仿宋" w:cs="仿宋"/>
          <w:sz w:val="28"/>
          <w:szCs w:val="28"/>
        </w:rPr>
        <w:t>,000</w:t>
      </w:r>
      <w:r>
        <w:rPr>
          <w:rFonts w:hint="eastAsia" w:ascii="仿宋" w:hAnsi="仿宋" w:eastAsia="仿宋" w:cs="仿宋"/>
          <w:sz w:val="28"/>
          <w:szCs w:val="28"/>
        </w:rPr>
        <w:t>元，按照4.35%年利率，贴息金额为610</w:t>
      </w:r>
      <w:r>
        <w:rPr>
          <w:rFonts w:ascii="仿宋" w:hAnsi="仿宋" w:eastAsia="仿宋" w:cs="仿宋"/>
          <w:sz w:val="28"/>
          <w:szCs w:val="28"/>
        </w:rPr>
        <w:t>,</w:t>
      </w:r>
      <w:r>
        <w:rPr>
          <w:rFonts w:hint="eastAsia" w:ascii="仿宋" w:hAnsi="仿宋" w:eastAsia="仿宋" w:cs="仿宋"/>
          <w:sz w:val="28"/>
          <w:szCs w:val="28"/>
        </w:rPr>
        <w:t>392元;同时仓储保管费按每月每吨8元执行，按5238吨计算，补贴仓储保管费用250</w:t>
      </w:r>
      <w:r>
        <w:rPr>
          <w:rFonts w:ascii="仿宋" w:hAnsi="仿宋" w:eastAsia="仿宋" w:cs="仿宋"/>
          <w:sz w:val="28"/>
          <w:szCs w:val="28"/>
        </w:rPr>
        <w:t>,</w:t>
      </w:r>
      <w:r>
        <w:rPr>
          <w:rFonts w:hint="eastAsia" w:ascii="仿宋" w:hAnsi="仿宋" w:eastAsia="仿宋" w:cs="仿宋"/>
          <w:sz w:val="28"/>
          <w:szCs w:val="28"/>
        </w:rPr>
        <w:t>000元。预计农资救灾储备补贴金额为860</w:t>
      </w:r>
      <w:r>
        <w:rPr>
          <w:rFonts w:ascii="仿宋" w:hAnsi="仿宋" w:eastAsia="仿宋" w:cs="仿宋"/>
          <w:sz w:val="28"/>
          <w:szCs w:val="28"/>
        </w:rPr>
        <w:t>,</w:t>
      </w:r>
      <w:r>
        <w:rPr>
          <w:rFonts w:hint="eastAsia" w:ascii="仿宋" w:hAnsi="仿宋" w:eastAsia="仿宋" w:cs="仿宋"/>
          <w:sz w:val="28"/>
          <w:szCs w:val="28"/>
        </w:rPr>
        <w:t>393元。实际补贴金额为850</w:t>
      </w:r>
      <w:r>
        <w:rPr>
          <w:rFonts w:ascii="仿宋" w:hAnsi="仿宋" w:eastAsia="仿宋" w:cs="仿宋"/>
          <w:sz w:val="28"/>
          <w:szCs w:val="28"/>
        </w:rPr>
        <w:t>,</w:t>
      </w:r>
      <w:r>
        <w:rPr>
          <w:rFonts w:hint="eastAsia" w:ascii="仿宋" w:hAnsi="仿宋" w:eastAsia="仿宋" w:cs="仿宋"/>
          <w:sz w:val="28"/>
          <w:szCs w:val="28"/>
        </w:rPr>
        <w:t>700元。预算执行率为98.87%，执行情况较好。</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该项目资金支出依据合规，无虚列支出，预算执行无较大调整。项目支付与项目合同内容相符、支付凭据完整。</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（三）项目有效性情况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（1）农资救灾储备完成情况</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市农资公司根据市供销总社年初制定的储备计划，实际储备尿素2211吨、复合肥3437吨；储备农药352.23吨，均达到绍兴市人民政府办公室抄告单（绍市府办抄2014年第151号）的储备要求。其中储备敌敌畏、三唑磷等19种农药，具体储备数量见下表。</w:t>
      </w:r>
    </w:p>
    <w:p>
      <w:pPr>
        <w:spacing w:line="600" w:lineRule="exact"/>
        <w:ind w:firstLine="560" w:firstLineChars="200"/>
        <w:rPr>
          <w:rFonts w:ascii="仿宋" w:hAnsi="仿宋" w:eastAsia="仿宋" w:cs="仿宋"/>
          <w:sz w:val="28"/>
          <w:szCs w:val="28"/>
        </w:rPr>
      </w:pPr>
    </w:p>
    <w:p>
      <w:pPr>
        <w:spacing w:line="60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农药储备清单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b/>
                <w:bCs/>
                <w:sz w:val="28"/>
                <w:szCs w:val="28"/>
              </w:rPr>
            </w:pPr>
            <w:r>
              <w:rPr>
                <w:rFonts w:hint="eastAsia" w:ascii="仿宋" w:hAnsi="仿宋" w:eastAsia="仿宋" w:cs="仿宋"/>
                <w:b/>
                <w:bCs/>
                <w:sz w:val="28"/>
                <w:szCs w:val="28"/>
              </w:rPr>
              <w:t>品种</w:t>
            </w:r>
          </w:p>
        </w:tc>
        <w:tc>
          <w:tcPr>
            <w:tcW w:w="3020" w:type="dxa"/>
          </w:tcPr>
          <w:p>
            <w:pPr>
              <w:spacing w:line="600" w:lineRule="exact"/>
              <w:rPr>
                <w:rFonts w:ascii="仿宋" w:hAnsi="仿宋" w:eastAsia="仿宋" w:cs="仿宋"/>
                <w:b/>
                <w:bCs/>
                <w:sz w:val="28"/>
                <w:szCs w:val="28"/>
              </w:rPr>
            </w:pPr>
            <w:r>
              <w:rPr>
                <w:rFonts w:hint="eastAsia" w:ascii="仿宋" w:hAnsi="仿宋" w:eastAsia="仿宋" w:cs="仿宋"/>
                <w:b/>
                <w:bCs/>
                <w:sz w:val="28"/>
                <w:szCs w:val="28"/>
              </w:rPr>
              <w:t>核定储存量（吨）</w:t>
            </w:r>
          </w:p>
        </w:tc>
        <w:tc>
          <w:tcPr>
            <w:tcW w:w="3020" w:type="dxa"/>
          </w:tcPr>
          <w:p>
            <w:pPr>
              <w:spacing w:line="600" w:lineRule="exact"/>
              <w:rPr>
                <w:rFonts w:ascii="仿宋" w:hAnsi="仿宋" w:eastAsia="仿宋" w:cs="仿宋"/>
                <w:b/>
                <w:bCs/>
                <w:sz w:val="28"/>
                <w:szCs w:val="28"/>
              </w:rPr>
            </w:pPr>
            <w:r>
              <w:rPr>
                <w:rFonts w:hint="eastAsia" w:ascii="仿宋" w:hAnsi="仿宋" w:eastAsia="仿宋" w:cs="仿宋"/>
                <w:b/>
                <w:bCs/>
                <w:sz w:val="28"/>
                <w:szCs w:val="28"/>
              </w:rPr>
              <w:t>实际储存量（吨）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敌敌畏</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60</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三唑磷</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20</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多菌灵</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15</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甲基托布津</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15</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一遍净</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15</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吡虫啉</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10</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福戈</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毒死蜱</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10</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杀虫双</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30</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55.08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吡蚜酮（顶峰）</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垄歌</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阿米妙收</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拿敌稳</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宝剑</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4</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亮泰</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5</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草甘磷</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30</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斯品诺</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康宽</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3</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草铵磷</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15</w:t>
            </w:r>
          </w:p>
        </w:tc>
        <w:tc>
          <w:tcPr>
            <w:tcW w:w="3020" w:type="dxa"/>
          </w:tcPr>
          <w:p>
            <w:pPr>
              <w:spacing w:line="600" w:lineRule="exact"/>
              <w:rPr>
                <w:rFonts w:ascii="仿宋" w:hAnsi="仿宋" w:eastAsia="仿宋" w:cs="仿宋"/>
                <w:sz w:val="28"/>
                <w:szCs w:val="28"/>
              </w:rPr>
            </w:pPr>
            <w:r>
              <w:rPr>
                <w:rFonts w:hint="eastAsia" w:ascii="仿宋" w:hAnsi="仿宋" w:eastAsia="仿宋" w:cs="仿宋"/>
                <w:sz w:val="28"/>
                <w:szCs w:val="28"/>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020" w:type="dxa"/>
          </w:tcPr>
          <w:p>
            <w:pPr>
              <w:spacing w:line="600" w:lineRule="exact"/>
              <w:rPr>
                <w:rFonts w:ascii="仿宋" w:hAnsi="仿宋" w:eastAsia="仿宋" w:cs="仿宋"/>
                <w:b/>
                <w:bCs/>
                <w:sz w:val="28"/>
                <w:szCs w:val="28"/>
              </w:rPr>
            </w:pPr>
            <w:r>
              <w:rPr>
                <w:rFonts w:hint="eastAsia" w:ascii="仿宋" w:hAnsi="仿宋" w:eastAsia="仿宋" w:cs="仿宋"/>
                <w:b/>
                <w:bCs/>
                <w:sz w:val="28"/>
                <w:szCs w:val="28"/>
              </w:rPr>
              <w:t>合计</w:t>
            </w:r>
          </w:p>
        </w:tc>
        <w:tc>
          <w:tcPr>
            <w:tcW w:w="3020" w:type="dxa"/>
          </w:tcPr>
          <w:p>
            <w:pPr>
              <w:spacing w:line="600" w:lineRule="exact"/>
              <w:rPr>
                <w:rFonts w:ascii="仿宋" w:hAnsi="仿宋" w:eastAsia="仿宋" w:cs="仿宋"/>
                <w:b/>
                <w:bCs/>
                <w:sz w:val="28"/>
                <w:szCs w:val="28"/>
              </w:rPr>
            </w:pPr>
            <w:r>
              <w:rPr>
                <w:rFonts w:ascii="仿宋" w:hAnsi="仿宋" w:eastAsia="仿宋" w:cs="仿宋"/>
                <w:b/>
                <w:bCs/>
                <w:sz w:val="28"/>
                <w:szCs w:val="28"/>
              </w:rPr>
              <w:fldChar w:fldCharType="begin"/>
            </w:r>
            <w:r>
              <w:rPr>
                <w:rFonts w:ascii="仿宋" w:hAnsi="仿宋" w:eastAsia="仿宋" w:cs="仿宋"/>
                <w:b/>
                <w:bCs/>
                <w:sz w:val="28"/>
                <w:szCs w:val="28"/>
              </w:rPr>
              <w:instrText xml:space="preserve"> </w:instrText>
            </w:r>
            <w:r>
              <w:rPr>
                <w:rFonts w:hint="eastAsia" w:ascii="仿宋" w:hAnsi="仿宋" w:eastAsia="仿宋" w:cs="仿宋"/>
                <w:b/>
                <w:bCs/>
                <w:sz w:val="28"/>
                <w:szCs w:val="28"/>
              </w:rPr>
              <w:instrText xml:space="preserve">=SUM(ABOVE)</w:instrText>
            </w:r>
            <w:r>
              <w:rPr>
                <w:rFonts w:ascii="仿宋" w:hAnsi="仿宋" w:eastAsia="仿宋" w:cs="仿宋"/>
                <w:b/>
                <w:bCs/>
                <w:sz w:val="28"/>
                <w:szCs w:val="28"/>
              </w:rPr>
              <w:instrText xml:space="preserve"> </w:instrText>
            </w:r>
            <w:r>
              <w:rPr>
                <w:rFonts w:ascii="仿宋" w:hAnsi="仿宋" w:eastAsia="仿宋" w:cs="仿宋"/>
                <w:b/>
                <w:bCs/>
                <w:sz w:val="28"/>
                <w:szCs w:val="28"/>
              </w:rPr>
              <w:fldChar w:fldCharType="separate"/>
            </w:r>
            <w:r>
              <w:rPr>
                <w:rFonts w:ascii="仿宋" w:hAnsi="仿宋" w:eastAsia="仿宋" w:cs="仿宋"/>
                <w:b/>
                <w:bCs/>
                <w:sz w:val="28"/>
                <w:szCs w:val="28"/>
              </w:rPr>
              <w:t>238</w:t>
            </w:r>
            <w:r>
              <w:rPr>
                <w:rFonts w:ascii="仿宋" w:hAnsi="仿宋" w:eastAsia="仿宋" w:cs="仿宋"/>
                <w:b/>
                <w:bCs/>
                <w:sz w:val="28"/>
                <w:szCs w:val="28"/>
              </w:rPr>
              <w:fldChar w:fldCharType="end"/>
            </w:r>
          </w:p>
        </w:tc>
        <w:tc>
          <w:tcPr>
            <w:tcW w:w="3020" w:type="dxa"/>
          </w:tcPr>
          <w:p>
            <w:pPr>
              <w:spacing w:line="600" w:lineRule="exact"/>
              <w:rPr>
                <w:rFonts w:ascii="仿宋" w:hAnsi="仿宋" w:eastAsia="仿宋" w:cs="仿宋"/>
                <w:b/>
                <w:bCs/>
                <w:sz w:val="28"/>
                <w:szCs w:val="28"/>
              </w:rPr>
            </w:pPr>
            <w:r>
              <w:rPr>
                <w:rFonts w:ascii="仿宋" w:hAnsi="仿宋" w:eastAsia="仿宋" w:cs="仿宋"/>
                <w:b/>
                <w:bCs/>
                <w:sz w:val="28"/>
                <w:szCs w:val="28"/>
              </w:rPr>
              <w:fldChar w:fldCharType="begin"/>
            </w:r>
            <w:r>
              <w:rPr>
                <w:rFonts w:ascii="仿宋" w:hAnsi="仿宋" w:eastAsia="仿宋" w:cs="仿宋"/>
                <w:b/>
                <w:bCs/>
                <w:sz w:val="28"/>
                <w:szCs w:val="28"/>
              </w:rPr>
              <w:instrText xml:space="preserve"> </w:instrText>
            </w:r>
            <w:r>
              <w:rPr>
                <w:rFonts w:hint="eastAsia" w:ascii="仿宋" w:hAnsi="仿宋" w:eastAsia="仿宋" w:cs="仿宋"/>
                <w:b/>
                <w:bCs/>
                <w:sz w:val="28"/>
                <w:szCs w:val="28"/>
              </w:rPr>
              <w:instrText xml:space="preserve">=SUM(ABOVE)</w:instrText>
            </w:r>
            <w:r>
              <w:rPr>
                <w:rFonts w:ascii="仿宋" w:hAnsi="仿宋" w:eastAsia="仿宋" w:cs="仿宋"/>
                <w:b/>
                <w:bCs/>
                <w:sz w:val="28"/>
                <w:szCs w:val="28"/>
              </w:rPr>
              <w:instrText xml:space="preserve"> </w:instrText>
            </w:r>
            <w:r>
              <w:rPr>
                <w:rFonts w:ascii="仿宋" w:hAnsi="仿宋" w:eastAsia="仿宋" w:cs="仿宋"/>
                <w:b/>
                <w:bCs/>
                <w:sz w:val="28"/>
                <w:szCs w:val="28"/>
              </w:rPr>
              <w:fldChar w:fldCharType="separate"/>
            </w:r>
            <w:r>
              <w:rPr>
                <w:rFonts w:ascii="仿宋" w:hAnsi="仿宋" w:eastAsia="仿宋" w:cs="仿宋"/>
                <w:b/>
                <w:bCs/>
                <w:sz w:val="28"/>
                <w:szCs w:val="28"/>
              </w:rPr>
              <w:t>352.23</w:t>
            </w:r>
            <w:r>
              <w:rPr>
                <w:rFonts w:ascii="仿宋" w:hAnsi="仿宋" w:eastAsia="仿宋" w:cs="仿宋"/>
                <w:b/>
                <w:bCs/>
                <w:sz w:val="28"/>
                <w:szCs w:val="28"/>
              </w:rPr>
              <w:fldChar w:fldCharType="end"/>
            </w:r>
          </w:p>
        </w:tc>
      </w:tr>
    </w:tbl>
    <w:p>
      <w:pPr>
        <w:spacing w:line="600" w:lineRule="exact"/>
        <w:ind w:firstLine="320" w:firstLineChars="100"/>
        <w:rPr>
          <w:rFonts w:ascii="仿宋" w:hAnsi="仿宋" w:eastAsia="仿宋" w:cs="仿宋"/>
          <w:sz w:val="32"/>
          <w:szCs w:val="32"/>
        </w:rPr>
      </w:pPr>
      <w:r>
        <w:rPr>
          <w:rFonts w:hint="eastAsia" w:ascii="仿宋" w:hAnsi="仿宋" w:eastAsia="仿宋" w:cs="仿宋"/>
          <w:sz w:val="32"/>
          <w:szCs w:val="32"/>
        </w:rPr>
        <w:t>（2）项目实施质量</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救灾储备物资符合国家相关法律法规及产品标准，选择信誉良好、质量可靠的知名企业采购。所采购的救灾物资外包装均具有农药登记证号、农药生产许可证号、产品标准号。产品质量合格率为100</w:t>
      </w:r>
      <w:r>
        <w:rPr>
          <w:rFonts w:ascii="仿宋" w:hAnsi="仿宋" w:eastAsia="仿宋" w:cs="仿宋"/>
          <w:sz w:val="28"/>
          <w:szCs w:val="28"/>
        </w:rPr>
        <w:t>%</w:t>
      </w:r>
      <w:r>
        <w:rPr>
          <w:rFonts w:hint="eastAsia" w:ascii="仿宋" w:hAnsi="仿宋" w:eastAsia="仿宋" w:cs="仿宋"/>
          <w:sz w:val="28"/>
          <w:szCs w:val="28"/>
        </w:rPr>
        <w:t>。</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市农资公司作为承储单位根据市供销总社确定的储备方案及规章制度，及时采购救灾储备物资入库，按商品种类、储存要求分别保管、贮存。同时建立了储备物资进出明细表；出库调运严格遵守先进先出原则，保证储备期内救灾物资的数量。当需要动用救灾储备物资时，市农资公司应根据市供销总社指令，做到按时、保质、保量调拨救灾物资，农资救灾物资调拨转运率应达到100%。</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（3）项目实现效益</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农资救灾储备是灾害应急救助体系的重要组成部分，为受灾农民提供农业生产必需的化肥和农药，减少自然灾害和病虫害对农业生产的影响，保障救灾及时，保证农民的经济利益。</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（四）项目公平性情况</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农资救灾储备物资的发放对象为绍兴市本级农业生产遭受自然灾害、病虫害的农业生产者。救灾物资的发放秉持公平、合理的原则。</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（五）项目可持续性情况</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根据绍市府办抄2014年第151号抄告单，绍兴市人民政府设定了为期5年的农资救灾储备补贴专项经费，项目资金投入具有可持续性。同时项目实施有效减少了自然灾害、病虫害对农业生产的影响。</w:t>
      </w:r>
    </w:p>
    <w:p>
      <w:pPr>
        <w:spacing w:line="600" w:lineRule="exact"/>
        <w:ind w:firstLine="640" w:firstLineChars="200"/>
        <w:rPr>
          <w:rFonts w:ascii="黑体" w:hAnsi="黑体" w:eastAsia="黑体" w:cs="黑体"/>
          <w:sz w:val="32"/>
          <w:szCs w:val="32"/>
        </w:rPr>
      </w:pPr>
      <w:bookmarkStart w:id="9" w:name="_Hlk41932052"/>
      <w:r>
        <w:rPr>
          <w:rFonts w:hint="eastAsia" w:ascii="黑体" w:hAnsi="黑体" w:eastAsia="黑体" w:cs="黑体"/>
          <w:sz w:val="32"/>
          <w:szCs w:val="32"/>
        </w:rPr>
        <w:t>五、存在的问题及相关建议</w:t>
      </w:r>
    </w:p>
    <w:bookmarkEnd w:id="9"/>
    <w:p>
      <w:pPr>
        <w:spacing w:line="600" w:lineRule="exact"/>
        <w:ind w:firstLine="643" w:firstLineChars="200"/>
        <w:rPr>
          <w:rFonts w:ascii="仿宋" w:hAnsi="仿宋" w:eastAsia="仿宋" w:cs="仿宋"/>
          <w:b/>
          <w:bCs/>
          <w:sz w:val="32"/>
          <w:szCs w:val="32"/>
        </w:rPr>
      </w:pPr>
      <w:bookmarkStart w:id="10" w:name="_Hlk41932106"/>
      <w:r>
        <w:rPr>
          <w:rFonts w:hint="eastAsia" w:ascii="仿宋" w:hAnsi="仿宋" w:eastAsia="仿宋" w:cs="仿宋"/>
          <w:b/>
          <w:bCs/>
          <w:sz w:val="32"/>
          <w:szCs w:val="32"/>
        </w:rPr>
        <w:t>（一）存在的问题</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根据《绍兴市本级化肥、农药救灾储备物资管理暂行办法的通知》（绍市供总〔2015〕17号）文件，市农资公司要将采购商品质量检验报告和商品生产企业“三证”复印件作为备案材料。市农资公司未将商品质量检验报告和商品生产企业的“三证”复印件作为备案材料。</w:t>
      </w:r>
    </w:p>
    <w:bookmarkEnd w:id="10"/>
    <w:p>
      <w:pPr>
        <w:spacing w:line="600" w:lineRule="exact"/>
        <w:ind w:firstLine="643" w:firstLineChars="200"/>
        <w:rPr>
          <w:rFonts w:ascii="仿宋" w:hAnsi="仿宋" w:eastAsia="仿宋" w:cs="仿宋"/>
          <w:b/>
          <w:bCs/>
          <w:sz w:val="32"/>
          <w:szCs w:val="32"/>
        </w:rPr>
      </w:pPr>
      <w:bookmarkStart w:id="11" w:name="_Hlk41932119"/>
      <w:r>
        <w:rPr>
          <w:rFonts w:hint="eastAsia" w:ascii="仿宋" w:hAnsi="仿宋" w:eastAsia="仿宋" w:cs="仿宋"/>
          <w:b/>
          <w:bCs/>
          <w:sz w:val="32"/>
          <w:szCs w:val="32"/>
        </w:rPr>
        <w:t>（二）相关的建议</w:t>
      </w:r>
    </w:p>
    <w:bookmarkEnd w:id="11"/>
    <w:p>
      <w:pPr>
        <w:spacing w:line="6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加强项目资料归档完整性</w:t>
      </w:r>
    </w:p>
    <w:p>
      <w:pPr>
        <w:adjustRightInd w:val="0"/>
        <w:snapToGrid w:val="0"/>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储备物资所需资金由承储单位自行解决，储备费用包括利息补贴和仓储保管费用补贴，储备期结束后，申报财政并予以一次性补贴。根据绍市供总〔2015〕17号文件规定，储备单位需要将采购商品质量检验报告和商品生产企业“三证”复印件作为备案材料。建议市农资公司应进一步加强项目资料归档完整性。</w:t>
      </w:r>
    </w:p>
    <w:p>
      <w:pPr>
        <w:adjustRightInd w:val="0"/>
        <w:snapToGrid w:val="0"/>
        <w:spacing w:line="600" w:lineRule="exact"/>
        <w:ind w:firstLine="560" w:firstLineChars="200"/>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rPr>
      </w:pPr>
    </w:p>
    <w:p>
      <w:pPr>
        <w:adjustRightInd w:val="0"/>
        <w:snapToGrid w:val="0"/>
        <w:spacing w:line="600" w:lineRule="exact"/>
        <w:rPr>
          <w:rFonts w:hint="eastAsia" w:ascii="仿宋" w:hAnsi="仿宋" w:eastAsia="仿宋" w:cs="仿宋"/>
          <w:sz w:val="28"/>
          <w:szCs w:val="28"/>
          <w:lang w:val="en-US" w:eastAsia="zh-CN"/>
        </w:rPr>
      </w:pPr>
    </w:p>
    <w:p>
      <w:pPr>
        <w:adjustRightInd w:val="0"/>
        <w:snapToGrid w:val="0"/>
        <w:spacing w:line="600" w:lineRule="exact"/>
        <w:ind w:firstLine="560" w:firstLineChars="200"/>
        <w:rPr>
          <w:rFonts w:hint="eastAsia" w:ascii="仿宋" w:hAnsi="仿宋" w:eastAsia="仿宋" w:cs="仿宋"/>
          <w:sz w:val="28"/>
          <w:szCs w:val="28"/>
          <w:lang w:val="en-US" w:eastAsia="zh-CN"/>
        </w:rPr>
      </w:pPr>
      <w:bookmarkStart w:id="12" w:name="_GoBack"/>
      <w:bookmarkEnd w:id="12"/>
      <w:r>
        <w:rPr>
          <w:rFonts w:hint="eastAsia" w:ascii="仿宋" w:hAnsi="仿宋" w:eastAsia="仿宋" w:cs="仿宋"/>
          <w:sz w:val="28"/>
          <w:szCs w:val="28"/>
          <w:lang w:val="en-US" w:eastAsia="zh-CN"/>
        </w:rPr>
        <w:t>附件1：指标表-绍兴市供销总社农资救灾储备补贴</w:t>
      </w:r>
    </w:p>
    <w:p>
      <w:pPr>
        <w:adjustRightInd w:val="0"/>
        <w:snapToGrid w:val="0"/>
        <w:spacing w:line="600" w:lineRule="exact"/>
        <w:rPr>
          <w:rFonts w:hint="eastAsia" w:ascii="仿宋" w:hAnsi="仿宋" w:eastAsia="仿宋" w:cs="仿宋"/>
          <w:sz w:val="28"/>
          <w:szCs w:val="28"/>
          <w:lang w:val="en-US" w:eastAsia="zh-CN"/>
        </w:rPr>
      </w:pPr>
    </w:p>
    <w:p>
      <w:pPr>
        <w:adjustRightInd w:val="0"/>
        <w:snapToGrid w:val="0"/>
        <w:spacing w:line="600" w:lineRule="exact"/>
        <w:rPr>
          <w:rFonts w:hint="default" w:ascii="仿宋" w:hAnsi="仿宋" w:eastAsia="仿宋" w:cs="仿宋"/>
          <w:sz w:val="28"/>
          <w:szCs w:val="28"/>
          <w:lang w:val="en-US" w:eastAsia="zh-CN"/>
        </w:rPr>
      </w:pPr>
    </w:p>
    <w:sectPr>
      <w:footerReference r:id="rId3" w:type="default"/>
      <w:pgSz w:w="11906" w:h="16838"/>
      <w:pgMar w:top="1928" w:right="1531" w:bottom="1701" w:left="1531" w:header="737" w:footer="850" w:gutter="0"/>
      <w:pgNumType w:start="0"/>
      <w:cols w:space="0" w:num="1"/>
      <w:titlePg/>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eastAsia="仿宋_GB2312"/>
                              <w:sz w:val="32"/>
                              <w:szCs w:val="48"/>
                            </w:rPr>
                          </w:pPr>
                          <w:r>
                            <w:rPr>
                              <w:rFonts w:hint="eastAsia" w:ascii="仿宋_GB2312" w:eastAsia="仿宋_GB2312"/>
                              <w:sz w:val="32"/>
                              <w:szCs w:val="48"/>
                            </w:rPr>
                            <w:fldChar w:fldCharType="begin"/>
                          </w:r>
                          <w:r>
                            <w:rPr>
                              <w:rFonts w:hint="eastAsia" w:ascii="仿宋_GB2312" w:eastAsia="仿宋_GB2312"/>
                              <w:sz w:val="32"/>
                              <w:szCs w:val="48"/>
                            </w:rPr>
                            <w:instrText xml:space="preserve"> PAGE  \* MERGEFORMAT </w:instrText>
                          </w:r>
                          <w:r>
                            <w:rPr>
                              <w:rFonts w:hint="eastAsia" w:ascii="仿宋_GB2312" w:eastAsia="仿宋_GB2312"/>
                              <w:sz w:val="32"/>
                              <w:szCs w:val="48"/>
                            </w:rPr>
                            <w:fldChar w:fldCharType="separate"/>
                          </w:r>
                          <w:r>
                            <w:rPr>
                              <w:rFonts w:hint="eastAsia" w:ascii="仿宋_GB2312" w:eastAsia="仿宋_GB2312"/>
                              <w:sz w:val="32"/>
                              <w:szCs w:val="48"/>
                            </w:rPr>
                            <w:t>1</w:t>
                          </w:r>
                          <w:r>
                            <w:rPr>
                              <w:rFonts w:hint="eastAsia" w:ascii="仿宋_GB2312" w:eastAsia="仿宋_GB2312"/>
                              <w:sz w:val="32"/>
                              <w:szCs w:val="4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仿宋_GB2312" w:eastAsia="仿宋_GB2312"/>
                        <w:sz w:val="32"/>
                        <w:szCs w:val="48"/>
                      </w:rPr>
                    </w:pPr>
                    <w:r>
                      <w:rPr>
                        <w:rFonts w:hint="eastAsia" w:ascii="仿宋_GB2312" w:eastAsia="仿宋_GB2312"/>
                        <w:sz w:val="32"/>
                        <w:szCs w:val="48"/>
                      </w:rPr>
                      <w:fldChar w:fldCharType="begin"/>
                    </w:r>
                    <w:r>
                      <w:rPr>
                        <w:rFonts w:hint="eastAsia" w:ascii="仿宋_GB2312" w:eastAsia="仿宋_GB2312"/>
                        <w:sz w:val="32"/>
                        <w:szCs w:val="48"/>
                      </w:rPr>
                      <w:instrText xml:space="preserve"> PAGE  \* MERGEFORMAT </w:instrText>
                    </w:r>
                    <w:r>
                      <w:rPr>
                        <w:rFonts w:hint="eastAsia" w:ascii="仿宋_GB2312" w:eastAsia="仿宋_GB2312"/>
                        <w:sz w:val="32"/>
                        <w:szCs w:val="48"/>
                      </w:rPr>
                      <w:fldChar w:fldCharType="separate"/>
                    </w:r>
                    <w:r>
                      <w:rPr>
                        <w:rFonts w:hint="eastAsia" w:ascii="仿宋_GB2312" w:eastAsia="仿宋_GB2312"/>
                        <w:sz w:val="32"/>
                        <w:szCs w:val="48"/>
                      </w:rPr>
                      <w:t>1</w:t>
                    </w:r>
                    <w:r>
                      <w:rPr>
                        <w:rFonts w:hint="eastAsia" w:ascii="仿宋_GB2312" w:eastAsia="仿宋_GB2312"/>
                        <w:sz w:val="32"/>
                        <w:szCs w:val="4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4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6254E"/>
    <w:rsid w:val="0001014A"/>
    <w:rsid w:val="00017091"/>
    <w:rsid w:val="000347F0"/>
    <w:rsid w:val="00085A12"/>
    <w:rsid w:val="000C2794"/>
    <w:rsid w:val="000C7196"/>
    <w:rsid w:val="000E6380"/>
    <w:rsid w:val="000F10B9"/>
    <w:rsid w:val="00151D2F"/>
    <w:rsid w:val="00154C57"/>
    <w:rsid w:val="00156FFB"/>
    <w:rsid w:val="001B5EA5"/>
    <w:rsid w:val="001E134C"/>
    <w:rsid w:val="00220584"/>
    <w:rsid w:val="0024695D"/>
    <w:rsid w:val="0027653B"/>
    <w:rsid w:val="00294B4A"/>
    <w:rsid w:val="002965FA"/>
    <w:rsid w:val="002A0CBB"/>
    <w:rsid w:val="002B648A"/>
    <w:rsid w:val="002E0ECF"/>
    <w:rsid w:val="002F63D1"/>
    <w:rsid w:val="00305217"/>
    <w:rsid w:val="00347EE5"/>
    <w:rsid w:val="0035075D"/>
    <w:rsid w:val="00367C3D"/>
    <w:rsid w:val="00382C04"/>
    <w:rsid w:val="00396F99"/>
    <w:rsid w:val="003A1A37"/>
    <w:rsid w:val="003A3DD6"/>
    <w:rsid w:val="003C5D3D"/>
    <w:rsid w:val="003E1B32"/>
    <w:rsid w:val="003F32CA"/>
    <w:rsid w:val="004076ED"/>
    <w:rsid w:val="00423175"/>
    <w:rsid w:val="00445E7B"/>
    <w:rsid w:val="00457ADE"/>
    <w:rsid w:val="00473DF4"/>
    <w:rsid w:val="00481A76"/>
    <w:rsid w:val="00490C61"/>
    <w:rsid w:val="00494AB5"/>
    <w:rsid w:val="004B5F4B"/>
    <w:rsid w:val="004D33DC"/>
    <w:rsid w:val="004F5D55"/>
    <w:rsid w:val="00511AF8"/>
    <w:rsid w:val="0051421F"/>
    <w:rsid w:val="0051780D"/>
    <w:rsid w:val="0053509B"/>
    <w:rsid w:val="00536DF1"/>
    <w:rsid w:val="00544131"/>
    <w:rsid w:val="00544DD5"/>
    <w:rsid w:val="00565F2C"/>
    <w:rsid w:val="00575043"/>
    <w:rsid w:val="00590A74"/>
    <w:rsid w:val="005B14CD"/>
    <w:rsid w:val="00607362"/>
    <w:rsid w:val="006259CC"/>
    <w:rsid w:val="00640340"/>
    <w:rsid w:val="00674B3A"/>
    <w:rsid w:val="006F605C"/>
    <w:rsid w:val="00702EB2"/>
    <w:rsid w:val="0072721F"/>
    <w:rsid w:val="0075582F"/>
    <w:rsid w:val="00790263"/>
    <w:rsid w:val="007934AE"/>
    <w:rsid w:val="007948EA"/>
    <w:rsid w:val="00794BC0"/>
    <w:rsid w:val="007E21E2"/>
    <w:rsid w:val="007F05B1"/>
    <w:rsid w:val="0080177A"/>
    <w:rsid w:val="00801C4D"/>
    <w:rsid w:val="008201E2"/>
    <w:rsid w:val="008642DE"/>
    <w:rsid w:val="00870A0E"/>
    <w:rsid w:val="00884849"/>
    <w:rsid w:val="008A03BB"/>
    <w:rsid w:val="008A49ED"/>
    <w:rsid w:val="008B01BB"/>
    <w:rsid w:val="008C3358"/>
    <w:rsid w:val="008C3884"/>
    <w:rsid w:val="008D7A37"/>
    <w:rsid w:val="008E3BA6"/>
    <w:rsid w:val="008F1E58"/>
    <w:rsid w:val="008F56D0"/>
    <w:rsid w:val="00932CFF"/>
    <w:rsid w:val="00944DFB"/>
    <w:rsid w:val="009620A8"/>
    <w:rsid w:val="009752E4"/>
    <w:rsid w:val="009913E5"/>
    <w:rsid w:val="009A57A5"/>
    <w:rsid w:val="009B313E"/>
    <w:rsid w:val="009B739E"/>
    <w:rsid w:val="009D6202"/>
    <w:rsid w:val="009E2F0C"/>
    <w:rsid w:val="00A04AAD"/>
    <w:rsid w:val="00A1743B"/>
    <w:rsid w:val="00A2627F"/>
    <w:rsid w:val="00A330E2"/>
    <w:rsid w:val="00A406A6"/>
    <w:rsid w:val="00A53DF5"/>
    <w:rsid w:val="00A720AF"/>
    <w:rsid w:val="00A7431F"/>
    <w:rsid w:val="00A82A24"/>
    <w:rsid w:val="00A85AA2"/>
    <w:rsid w:val="00AB0DB1"/>
    <w:rsid w:val="00AB15CD"/>
    <w:rsid w:val="00AB2837"/>
    <w:rsid w:val="00AF60DC"/>
    <w:rsid w:val="00B10891"/>
    <w:rsid w:val="00B12A16"/>
    <w:rsid w:val="00B24553"/>
    <w:rsid w:val="00B25DAF"/>
    <w:rsid w:val="00B4486A"/>
    <w:rsid w:val="00B64676"/>
    <w:rsid w:val="00B664B0"/>
    <w:rsid w:val="00B73773"/>
    <w:rsid w:val="00B843D7"/>
    <w:rsid w:val="00BC2095"/>
    <w:rsid w:val="00BF4AD7"/>
    <w:rsid w:val="00C047E9"/>
    <w:rsid w:val="00C102D3"/>
    <w:rsid w:val="00C22681"/>
    <w:rsid w:val="00C350D1"/>
    <w:rsid w:val="00C54801"/>
    <w:rsid w:val="00C874BD"/>
    <w:rsid w:val="00CA4257"/>
    <w:rsid w:val="00CC3AEC"/>
    <w:rsid w:val="00CD04FB"/>
    <w:rsid w:val="00CD39CE"/>
    <w:rsid w:val="00CE111D"/>
    <w:rsid w:val="00CE31A7"/>
    <w:rsid w:val="00D16C3C"/>
    <w:rsid w:val="00D532F0"/>
    <w:rsid w:val="00D66BA5"/>
    <w:rsid w:val="00D712E4"/>
    <w:rsid w:val="00D82AF4"/>
    <w:rsid w:val="00DA5E0A"/>
    <w:rsid w:val="00DE07AD"/>
    <w:rsid w:val="00E0159B"/>
    <w:rsid w:val="00E13994"/>
    <w:rsid w:val="00E16287"/>
    <w:rsid w:val="00E26AAC"/>
    <w:rsid w:val="00E32194"/>
    <w:rsid w:val="00E358E5"/>
    <w:rsid w:val="00E516B3"/>
    <w:rsid w:val="00E54E4E"/>
    <w:rsid w:val="00E767AB"/>
    <w:rsid w:val="00EC4698"/>
    <w:rsid w:val="00EF1D15"/>
    <w:rsid w:val="00F0214D"/>
    <w:rsid w:val="00F05C14"/>
    <w:rsid w:val="00F0719A"/>
    <w:rsid w:val="00F23095"/>
    <w:rsid w:val="00F3726F"/>
    <w:rsid w:val="00F619CC"/>
    <w:rsid w:val="00F76813"/>
    <w:rsid w:val="00F863E0"/>
    <w:rsid w:val="00FA3A94"/>
    <w:rsid w:val="00FC61D4"/>
    <w:rsid w:val="00FD050A"/>
    <w:rsid w:val="00FD0764"/>
    <w:rsid w:val="00FF245D"/>
    <w:rsid w:val="00FF5EB3"/>
    <w:rsid w:val="00FF6D4D"/>
    <w:rsid w:val="0226254E"/>
    <w:rsid w:val="195F02E7"/>
    <w:rsid w:val="19C7478E"/>
    <w:rsid w:val="1AEF47C4"/>
    <w:rsid w:val="1AEF4FA3"/>
    <w:rsid w:val="1E385339"/>
    <w:rsid w:val="216B7648"/>
    <w:rsid w:val="237A2E65"/>
    <w:rsid w:val="3E2D45E2"/>
    <w:rsid w:val="3E9F5FBB"/>
    <w:rsid w:val="46BB755B"/>
    <w:rsid w:val="48935771"/>
    <w:rsid w:val="4A9565DC"/>
    <w:rsid w:val="4B701523"/>
    <w:rsid w:val="4D603DCB"/>
    <w:rsid w:val="50654992"/>
    <w:rsid w:val="585C2ACB"/>
    <w:rsid w:val="6468099A"/>
    <w:rsid w:val="660D5B17"/>
    <w:rsid w:val="69E75A72"/>
    <w:rsid w:val="732815AD"/>
    <w:rsid w:val="755B0DB1"/>
    <w:rsid w:val="76FD29F6"/>
    <w:rsid w:val="7C82171D"/>
    <w:rsid w:val="7E8F1E72"/>
    <w:rsid w:val="F7ED5B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ody Text"/>
    <w:basedOn w:val="1"/>
    <w:link w:val="18"/>
    <w:qFormat/>
    <w:uiPriority w:val="0"/>
    <w:pPr>
      <w:spacing w:line="360" w:lineRule="auto"/>
      <w:ind w:firstLine="200" w:firstLineChars="200"/>
    </w:pPr>
    <w:rPr>
      <w:rFonts w:ascii="Times New Roman" w:hAnsi="Times New Roman" w:eastAsia="宋体" w:cs="Times New Roman"/>
      <w:color w:val="000000"/>
      <w:sz w:val="28"/>
      <w:szCs w:val="22"/>
    </w:rPr>
  </w:style>
  <w:style w:type="paragraph" w:styleId="5">
    <w:name w:val="Balloon Text"/>
    <w:basedOn w:val="1"/>
    <w:link w:val="14"/>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3"/>
    <w:next w:val="3"/>
    <w:link w:val="17"/>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21"/>
      <w:szCs w:val="21"/>
    </w:rPr>
  </w:style>
  <w:style w:type="character" w:customStyle="1" w:styleId="14">
    <w:name w:val="批注框文本 字符"/>
    <w:basedOn w:val="11"/>
    <w:link w:val="5"/>
    <w:qFormat/>
    <w:uiPriority w:val="0"/>
    <w:rPr>
      <w:rFonts w:asciiTheme="minorHAnsi" w:hAnsiTheme="minorHAnsi" w:eastAsiaTheme="minorEastAsia" w:cstheme="minorBidi"/>
      <w:kern w:val="2"/>
      <w:sz w:val="18"/>
      <w:szCs w:val="18"/>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6">
    <w:name w:val="批注文字 字符"/>
    <w:basedOn w:val="11"/>
    <w:link w:val="3"/>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4"/>
    </w:rPr>
  </w:style>
  <w:style w:type="character" w:customStyle="1" w:styleId="18">
    <w:name w:val="正文文本 字符"/>
    <w:basedOn w:val="11"/>
    <w:link w:val="4"/>
    <w:qFormat/>
    <w:uiPriority w:val="0"/>
    <w:rPr>
      <w:color w:val="000000"/>
      <w:kern w:val="2"/>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D7C0D-E291-44CE-B6E6-6181301A92ED}">
  <ds:schemaRefs/>
</ds:datastoreItem>
</file>

<file path=docProps/app.xml><?xml version="1.0" encoding="utf-8"?>
<Properties xmlns="http://schemas.openxmlformats.org/officeDocument/2006/extended-properties" xmlns:vt="http://schemas.openxmlformats.org/officeDocument/2006/docPropsVTypes">
  <Template>Normal</Template>
  <Pages>1</Pages>
  <Words>672</Words>
  <Characters>3831</Characters>
  <Lines>31</Lines>
  <Paragraphs>8</Paragraphs>
  <TotalTime>1</TotalTime>
  <ScaleCrop>false</ScaleCrop>
  <LinksUpToDate>false</LinksUpToDate>
  <CharactersWithSpaces>4495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2020-03-01T18:22:00Z</dcterms:created>
  <dc:creator>清音</dc:creator>
  <cp:lastModifiedBy>被迫改名</cp:lastModifiedBy>
  <cp:lastPrinted>2020-06-15T02:54:00Z</cp:lastPrinted>
  <dcterms:modified xsi:type="dcterms:W3CDTF">2020-06-30T01:36:49Z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